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F57614">
        <w:rPr>
          <w:rFonts w:ascii="Times New Roman" w:hAnsi="Times New Roman" w:cs="Times New Roman"/>
          <w:sz w:val="28"/>
          <w:szCs w:val="28"/>
        </w:rPr>
        <w:t>12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F57614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F57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F57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городов Древней Руси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F57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614">
              <w:rPr>
                <w:rFonts w:ascii="Times New Roman" w:hAnsi="Times New Roman" w:cs="Times New Roman"/>
                <w:sz w:val="28"/>
                <w:szCs w:val="28"/>
              </w:rPr>
              <w:t>https://infourok.ru/prezentaciya-uchaschihsya-a-klassa-na-temu-istoriya-drevnih-gorodov-rusi-3716542.html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F57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:с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117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576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F57614">
              <w:rPr>
                <w:rFonts w:ascii="Times New Roman" w:hAnsi="Times New Roman" w:cs="Times New Roman"/>
                <w:sz w:val="28"/>
                <w:szCs w:val="28"/>
              </w:rPr>
              <w:t>роект №2 с 117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3605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06F80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57614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2020-05-08T11:34:00Z</dcterms:modified>
</cp:coreProperties>
</file>