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3C2E19">
        <w:rPr>
          <w:rFonts w:ascii="Times New Roman" w:hAnsi="Times New Roman" w:cs="Times New Roman"/>
          <w:sz w:val="28"/>
          <w:szCs w:val="28"/>
        </w:rPr>
        <w:t>28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3C2E19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3C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EA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Обобщающий урок по теме: «История России в 16-17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EA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6D4">
              <w:rPr>
                <w:rFonts w:ascii="Times New Roman" w:hAnsi="Times New Roman" w:cs="Times New Roman"/>
                <w:sz w:val="28"/>
                <w:szCs w:val="28"/>
              </w:rPr>
              <w:t>https://videouroki.net/video/39-povtoritelno-obobshchayushchij-urok-rossiya-v-xvii-veka.html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EA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Учебник:с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127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2100923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A78AF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C2E19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121A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A76D4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49</cp:revision>
  <cp:lastPrinted>2018-09-11T07:02:00Z</cp:lastPrinted>
  <dcterms:created xsi:type="dcterms:W3CDTF">2016-09-13T07:07:00Z</dcterms:created>
  <dcterms:modified xsi:type="dcterms:W3CDTF">2020-05-27T13:09:00Z</dcterms:modified>
</cp:coreProperties>
</file>