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202E97">
        <w:rPr>
          <w:rFonts w:ascii="Tahoma" w:eastAsia="Times New Roman" w:hAnsi="Tahoma" w:cs="Tahoma"/>
          <w:color w:val="000000"/>
          <w:sz w:val="21"/>
          <w:szCs w:val="21"/>
          <w:bdr w:val="none" w:sz="0" w:space="0" w:color="auto" w:frame="1"/>
          <w:lang w:eastAsia="ru-RU"/>
        </w:rPr>
        <w:t>дание для учащихся 8</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202E97"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202E97"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202E97"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202E97"/>
    <w:rsid w:val="00345E57"/>
    <w:rsid w:val="004E3F81"/>
    <w:rsid w:val="006020D8"/>
    <w:rsid w:val="00A7561E"/>
    <w:rsid w:val="00B8344A"/>
    <w:rsid w:val="00BA43FB"/>
    <w:rsid w:val="00C83B1D"/>
    <w:rsid w:val="00D03661"/>
    <w:rsid w:val="00EC463F"/>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2020-04-02T09:09:00Z</dcterms:created>
  <dcterms:modified xsi:type="dcterms:W3CDTF">2020-04-06T09:29:00Z</dcterms:modified>
</cp:coreProperties>
</file>